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73F571" w14:textId="2C6A1B9A" w:rsidR="00057F11" w:rsidRPr="00C549B6" w:rsidRDefault="0087142B" w:rsidP="00057F11">
      <w:pPr>
        <w:spacing w:after="10" w:line="168" w:lineRule="auto"/>
        <w:ind w:left="-907" w:right="-1440"/>
        <w:rPr>
          <w:i/>
          <w:color w:val="5066BF"/>
          <w:sz w:val="20"/>
          <w:szCs w:val="20"/>
        </w:rPr>
      </w:pPr>
      <w:r>
        <w:rPr>
          <w:noProof/>
          <w:color w:val="2630C2"/>
        </w:rPr>
        <w:t xml:space="preserve">              </w:t>
      </w:r>
      <w:r w:rsidR="00057F11">
        <w:rPr>
          <w:noProof/>
          <w:color w:val="2630C2"/>
        </w:rPr>
        <w:drawing>
          <wp:inline distT="0" distB="0" distL="0" distR="0" wp14:anchorId="622910FF" wp14:editId="5C7DF00F">
            <wp:extent cx="788670" cy="1349375"/>
            <wp:effectExtent l="0" t="0" r="0" b="0"/>
            <wp:docPr id="1" name="Picture 1" descr="wslc-logo-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lc-logo-lar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8670" cy="1349375"/>
                    </a:xfrm>
                    <a:prstGeom prst="rect">
                      <a:avLst/>
                    </a:prstGeom>
                    <a:noFill/>
                    <a:ln>
                      <a:noFill/>
                    </a:ln>
                  </pic:spPr>
                </pic:pic>
              </a:graphicData>
            </a:graphic>
          </wp:inline>
        </w:drawing>
      </w:r>
      <w:r w:rsidR="00057F11" w:rsidRPr="00C549B6">
        <w:rPr>
          <w:color w:val="2630C2"/>
        </w:rPr>
        <w:t xml:space="preserve">  </w:t>
      </w:r>
      <w:r w:rsidR="00057F11" w:rsidRPr="00C549B6">
        <w:rPr>
          <w:b/>
          <w:color w:val="5066BF"/>
          <w:sz w:val="36"/>
          <w:szCs w:val="36"/>
        </w:rPr>
        <w:t>WOMEN’S STATE LEGISLATIVE COUNCIL</w:t>
      </w:r>
      <w:r w:rsidR="00057F11" w:rsidRPr="00C549B6">
        <w:rPr>
          <w:color w:val="5066BF"/>
          <w:sz w:val="36"/>
          <w:szCs w:val="36"/>
        </w:rPr>
        <w:t xml:space="preserve"> </w:t>
      </w:r>
      <w:r w:rsidR="00057F11" w:rsidRPr="00C549B6">
        <w:rPr>
          <w:i/>
          <w:color w:val="5066BF"/>
          <w:sz w:val="20"/>
          <w:szCs w:val="20"/>
        </w:rPr>
        <w:t>OF UTAH</w:t>
      </w:r>
    </w:p>
    <w:p w14:paraId="509BE670" w14:textId="7DB1AE65" w:rsidR="00057F11" w:rsidRPr="00C549B6" w:rsidRDefault="0087142B" w:rsidP="00057F11">
      <w:pPr>
        <w:spacing w:after="10" w:line="168" w:lineRule="auto"/>
        <w:ind w:left="-907" w:right="-1440"/>
        <w:rPr>
          <w:b/>
          <w:i/>
          <w:color w:val="5066BF"/>
        </w:rPr>
      </w:pPr>
      <w:r>
        <w:rPr>
          <w:b/>
          <w:i/>
          <w:color w:val="5066BF"/>
        </w:rPr>
        <w:t xml:space="preserve">            </w:t>
      </w:r>
      <w:r w:rsidR="00057F11" w:rsidRPr="00C549B6">
        <w:rPr>
          <w:b/>
          <w:i/>
          <w:color w:val="5066BF"/>
        </w:rPr>
        <w:t>_________________________________________________________________________________________</w:t>
      </w:r>
    </w:p>
    <w:p w14:paraId="07E4303B" w14:textId="77777777" w:rsidR="00057F11" w:rsidRPr="00C549B6" w:rsidRDefault="00057F11" w:rsidP="00057F11">
      <w:pPr>
        <w:ind w:right="-1440"/>
        <w:jc w:val="center"/>
        <w:rPr>
          <w:i/>
          <w:color w:val="556BC9"/>
          <w:sz w:val="20"/>
          <w:szCs w:val="20"/>
        </w:rPr>
      </w:pPr>
      <w:r>
        <w:rPr>
          <w:i/>
          <w:color w:val="5066BF"/>
          <w:sz w:val="20"/>
          <w:szCs w:val="20"/>
        </w:rPr>
        <w:t xml:space="preserve">                                                                                                                                               </w:t>
      </w:r>
      <w:r w:rsidRPr="00C549B6">
        <w:rPr>
          <w:i/>
          <w:color w:val="5066BF"/>
          <w:sz w:val="20"/>
          <w:szCs w:val="20"/>
        </w:rPr>
        <w:t>SALT LAKE CITY, UTAH</w:t>
      </w:r>
    </w:p>
    <w:p w14:paraId="581AFD3B" w14:textId="77777777" w:rsidR="00057F11" w:rsidRPr="0087142B" w:rsidRDefault="00057F11" w:rsidP="00057F11">
      <w:pPr>
        <w:jc w:val="center"/>
        <w:rPr>
          <w:b/>
          <w:sz w:val="16"/>
          <w:szCs w:val="16"/>
          <w:u w:val="single"/>
        </w:rPr>
      </w:pPr>
    </w:p>
    <w:p w14:paraId="7F330164" w14:textId="77777777" w:rsidR="00241C54" w:rsidRDefault="00241C54" w:rsidP="00241C54">
      <w:pPr>
        <w:spacing w:after="240"/>
        <w:jc w:val="center"/>
        <w:outlineLvl w:val="0"/>
        <w:rPr>
          <w:b/>
          <w:sz w:val="22"/>
          <w:szCs w:val="22"/>
        </w:rPr>
      </w:pPr>
      <w:r w:rsidRPr="000E374E">
        <w:rPr>
          <w:b/>
          <w:sz w:val="22"/>
          <w:szCs w:val="22"/>
        </w:rPr>
        <w:t xml:space="preserve">RESOLUTION IN OPPOSITION TO H.B. </w:t>
      </w:r>
      <w:r>
        <w:rPr>
          <w:b/>
          <w:sz w:val="22"/>
          <w:szCs w:val="22"/>
        </w:rPr>
        <w:t>408</w:t>
      </w:r>
      <w:r w:rsidRPr="000E374E">
        <w:rPr>
          <w:b/>
          <w:sz w:val="22"/>
          <w:szCs w:val="22"/>
        </w:rPr>
        <w:t xml:space="preserve"> </w:t>
      </w:r>
      <w:r>
        <w:rPr>
          <w:b/>
          <w:sz w:val="22"/>
          <w:szCs w:val="22"/>
        </w:rPr>
        <w:br/>
        <w:t>STATE PROPERTY AND SCHOOL AND INSTUTIONAL TRUST LAND AMENDMENTS</w:t>
      </w:r>
    </w:p>
    <w:p w14:paraId="54E7FE34" w14:textId="6290F1CF" w:rsidR="00241C54" w:rsidRPr="0087142B" w:rsidRDefault="00241C54" w:rsidP="0087142B">
      <w:pPr>
        <w:spacing w:after="240"/>
        <w:outlineLvl w:val="0"/>
        <w:rPr>
          <w:b/>
          <w:sz w:val="22"/>
          <w:szCs w:val="22"/>
        </w:rPr>
      </w:pPr>
      <w:r>
        <w:rPr>
          <w:sz w:val="22"/>
          <w:szCs w:val="22"/>
        </w:rPr>
        <w:t>Whereas, The School and Institutional Trust Land Administration (SITL</w:t>
      </w:r>
      <w:r w:rsidR="0087142B">
        <w:rPr>
          <w:sz w:val="22"/>
          <w:szCs w:val="22"/>
        </w:rPr>
        <w:t xml:space="preserve">A) was established as a funding </w:t>
      </w:r>
      <w:r>
        <w:rPr>
          <w:sz w:val="22"/>
          <w:szCs w:val="22"/>
        </w:rPr>
        <w:t>mechanism for education in Utah;</w:t>
      </w:r>
      <w:r>
        <w:rPr>
          <w:sz w:val="22"/>
          <w:szCs w:val="22"/>
          <w:vertAlign w:val="superscript"/>
        </w:rPr>
        <w:t>1,</w:t>
      </w:r>
      <w:r w:rsidRPr="0087142B">
        <w:rPr>
          <w:sz w:val="18"/>
          <w:szCs w:val="18"/>
          <w:vertAlign w:val="superscript"/>
        </w:rPr>
        <w:t>4</w:t>
      </w:r>
      <w:r w:rsidRPr="0087142B">
        <w:rPr>
          <w:sz w:val="18"/>
          <w:szCs w:val="18"/>
        </w:rPr>
        <w:t>Whereas</w:t>
      </w:r>
      <w:r>
        <w:rPr>
          <w:sz w:val="22"/>
          <w:szCs w:val="22"/>
        </w:rPr>
        <w:t>, SITLA owns over 3.4 million acres of land (“Trust Lands”) in Utah;</w:t>
      </w:r>
      <w:r>
        <w:rPr>
          <w:sz w:val="22"/>
          <w:szCs w:val="22"/>
          <w:vertAlign w:val="superscript"/>
        </w:rPr>
        <w:t>1,3</w:t>
      </w:r>
    </w:p>
    <w:p w14:paraId="18BB5816" w14:textId="77777777" w:rsidR="0087142B" w:rsidRDefault="00241C54" w:rsidP="00241C54">
      <w:pPr>
        <w:spacing w:after="240"/>
        <w:rPr>
          <w:sz w:val="18"/>
          <w:szCs w:val="18"/>
          <w:vertAlign w:val="superscript"/>
        </w:rPr>
      </w:pPr>
      <w:r>
        <w:rPr>
          <w:sz w:val="22"/>
          <w:szCs w:val="22"/>
        </w:rPr>
        <w:t>Whereas, SITLA trades, sells, or develops Trust Lands for new residential or nonresidential development to provide education funding for the state;</w:t>
      </w:r>
      <w:r>
        <w:rPr>
          <w:sz w:val="22"/>
          <w:szCs w:val="22"/>
          <w:vertAlign w:val="superscript"/>
        </w:rPr>
        <w:t>1,</w:t>
      </w:r>
      <w:r w:rsidRPr="0087142B">
        <w:rPr>
          <w:sz w:val="18"/>
          <w:szCs w:val="18"/>
          <w:vertAlign w:val="superscript"/>
        </w:rPr>
        <w:t>4</w:t>
      </w:r>
    </w:p>
    <w:p w14:paraId="74CF580D" w14:textId="662F0208" w:rsidR="00241C54" w:rsidRPr="0075013D" w:rsidRDefault="00241C54" w:rsidP="00241C54">
      <w:pPr>
        <w:spacing w:after="240"/>
        <w:rPr>
          <w:sz w:val="22"/>
          <w:szCs w:val="22"/>
          <w:vertAlign w:val="superscript"/>
        </w:rPr>
      </w:pPr>
      <w:r w:rsidRPr="0087142B">
        <w:rPr>
          <w:sz w:val="22"/>
          <w:szCs w:val="22"/>
        </w:rPr>
        <w:t>Whereas,</w:t>
      </w:r>
      <w:r>
        <w:rPr>
          <w:sz w:val="22"/>
          <w:szCs w:val="22"/>
        </w:rPr>
        <w:t xml:space="preserve"> The Utah State Code enables Cities and other local governments to create regulations for development in order to protect the public health, safety, and welfare of their residents;</w:t>
      </w:r>
      <w:r>
        <w:rPr>
          <w:sz w:val="22"/>
          <w:szCs w:val="22"/>
          <w:vertAlign w:val="superscript"/>
        </w:rPr>
        <w:t>2</w:t>
      </w:r>
    </w:p>
    <w:p w14:paraId="5171DF63" w14:textId="77777777" w:rsidR="00241C54" w:rsidRDefault="00241C54" w:rsidP="00241C54">
      <w:pPr>
        <w:spacing w:after="240"/>
        <w:rPr>
          <w:color w:val="222222"/>
          <w:sz w:val="22"/>
          <w:szCs w:val="22"/>
          <w:shd w:val="clear" w:color="auto" w:fill="FFFFFF"/>
        </w:rPr>
      </w:pPr>
      <w:r w:rsidRPr="0075013D">
        <w:rPr>
          <w:sz w:val="22"/>
          <w:szCs w:val="22"/>
        </w:rPr>
        <w:t xml:space="preserve">Whereas, </w:t>
      </w:r>
      <w:r>
        <w:rPr>
          <w:sz w:val="22"/>
          <w:szCs w:val="22"/>
        </w:rPr>
        <w:t>S</w:t>
      </w:r>
      <w:r w:rsidRPr="0075013D">
        <w:rPr>
          <w:sz w:val="22"/>
          <w:szCs w:val="22"/>
        </w:rPr>
        <w:t xml:space="preserve">uch regulations include ordinances, resolutions, rules, </w:t>
      </w:r>
      <w:r w:rsidRPr="0075013D">
        <w:rPr>
          <w:color w:val="222222"/>
          <w:sz w:val="22"/>
          <w:szCs w:val="22"/>
          <w:shd w:val="clear" w:color="auto" w:fill="FFFFFF"/>
        </w:rPr>
        <w:t>restrictive covenants, and other tools to govern “density, open spaces, structures, buildings, energy efficiency, light and air, air quality, transportation and public or alternative transportation, infrastructure, street and building orientation and width requirements, public facilities,” and more;</w:t>
      </w:r>
      <w:r>
        <w:rPr>
          <w:color w:val="222222"/>
          <w:sz w:val="22"/>
          <w:szCs w:val="22"/>
          <w:shd w:val="clear" w:color="auto" w:fill="FFFFFF"/>
          <w:vertAlign w:val="superscript"/>
        </w:rPr>
        <w:t>2</w:t>
      </w:r>
      <w:r w:rsidRPr="0075013D">
        <w:rPr>
          <w:color w:val="222222"/>
          <w:sz w:val="22"/>
          <w:szCs w:val="22"/>
          <w:shd w:val="clear" w:color="auto" w:fill="FFFFFF"/>
        </w:rPr>
        <w:t xml:space="preserve"> </w:t>
      </w:r>
    </w:p>
    <w:p w14:paraId="0060C84C" w14:textId="77777777" w:rsidR="0087142B" w:rsidRDefault="00241C54" w:rsidP="00241C54">
      <w:pPr>
        <w:spacing w:after="240"/>
        <w:rPr>
          <w:sz w:val="18"/>
          <w:szCs w:val="18"/>
        </w:rPr>
      </w:pPr>
      <w:r>
        <w:rPr>
          <w:sz w:val="22"/>
          <w:szCs w:val="22"/>
        </w:rPr>
        <w:t>Whereas, SITLA leases and sells Trust Lands for development in and adjacent to existing municipalities, town, and counties;</w:t>
      </w:r>
      <w:r w:rsidRPr="0075013D">
        <w:rPr>
          <w:sz w:val="22"/>
          <w:szCs w:val="22"/>
          <w:vertAlign w:val="superscript"/>
        </w:rPr>
        <w:t>3</w:t>
      </w:r>
      <w:r w:rsidR="0087142B">
        <w:rPr>
          <w:sz w:val="22"/>
          <w:szCs w:val="22"/>
        </w:rPr>
        <w:t xml:space="preserve">  </w:t>
      </w:r>
    </w:p>
    <w:p w14:paraId="1D9D4AF3" w14:textId="1BF0C8D4" w:rsidR="0087142B" w:rsidRPr="0087142B" w:rsidRDefault="00241C54" w:rsidP="00241C54">
      <w:pPr>
        <w:spacing w:after="240"/>
        <w:rPr>
          <w:sz w:val="22"/>
          <w:szCs w:val="22"/>
        </w:rPr>
      </w:pPr>
      <w:r>
        <w:rPr>
          <w:sz w:val="22"/>
          <w:szCs w:val="22"/>
        </w:rPr>
        <w:t>Whereas, The proposed bill would create a blanket exemption for both SITLA and its lessee developers from all local land use regulations;</w:t>
      </w:r>
      <w:r w:rsidRPr="00DB3BEF">
        <w:rPr>
          <w:sz w:val="22"/>
          <w:szCs w:val="22"/>
          <w:vertAlign w:val="superscript"/>
        </w:rPr>
        <w:t>5</w:t>
      </w:r>
      <w:r>
        <w:rPr>
          <w:sz w:val="22"/>
          <w:szCs w:val="22"/>
        </w:rPr>
        <w:t xml:space="preserve"> </w:t>
      </w:r>
      <w:r w:rsidR="0087142B">
        <w:rPr>
          <w:sz w:val="22"/>
          <w:szCs w:val="22"/>
        </w:rPr>
        <w:t xml:space="preserve"> </w:t>
      </w:r>
      <w:r w:rsidR="0087142B">
        <w:rPr>
          <w:sz w:val="18"/>
          <w:szCs w:val="18"/>
        </w:rPr>
        <w:t xml:space="preserve"> </w:t>
      </w:r>
    </w:p>
    <w:p w14:paraId="05ECD2D7" w14:textId="3650FB42" w:rsidR="0087142B" w:rsidRPr="0087142B" w:rsidRDefault="00241C54" w:rsidP="00241C54">
      <w:pPr>
        <w:spacing w:after="240"/>
        <w:rPr>
          <w:sz w:val="18"/>
          <w:szCs w:val="18"/>
        </w:rPr>
      </w:pPr>
      <w:r>
        <w:rPr>
          <w:sz w:val="22"/>
          <w:szCs w:val="22"/>
        </w:rPr>
        <w:t>Whereas, The exemption of new development from such standards has the potential to create negative impacts to residents in existing cities and neighborhoods, and removes the ability for cities and towns to protect their residents by removing regulatory abilities granted by the Utah State Code;</w:t>
      </w:r>
      <w:r w:rsidRPr="00DB3BEF">
        <w:rPr>
          <w:sz w:val="22"/>
          <w:szCs w:val="22"/>
          <w:vertAlign w:val="superscript"/>
        </w:rPr>
        <w:t>2,5</w:t>
      </w:r>
      <w:r>
        <w:rPr>
          <w:sz w:val="22"/>
          <w:szCs w:val="22"/>
        </w:rPr>
        <w:t xml:space="preserve"> and </w:t>
      </w:r>
      <w:r w:rsidR="0087142B">
        <w:rPr>
          <w:sz w:val="18"/>
          <w:szCs w:val="18"/>
        </w:rPr>
        <w:t xml:space="preserve">  </w:t>
      </w:r>
    </w:p>
    <w:p w14:paraId="068536A4" w14:textId="69612E9C" w:rsidR="00241C54" w:rsidRPr="0087142B" w:rsidRDefault="00241C54" w:rsidP="00241C54">
      <w:pPr>
        <w:spacing w:after="240"/>
        <w:rPr>
          <w:sz w:val="18"/>
          <w:szCs w:val="18"/>
        </w:rPr>
      </w:pPr>
      <w:r>
        <w:rPr>
          <w:sz w:val="22"/>
          <w:szCs w:val="22"/>
        </w:rPr>
        <w:t xml:space="preserve">Whereas, H.B. 408 in its current form takes the exemption of State facilities too far; </w:t>
      </w:r>
      <w:r w:rsidRPr="000E374E">
        <w:rPr>
          <w:sz w:val="22"/>
          <w:szCs w:val="22"/>
        </w:rPr>
        <w:t>now, therefore,</w:t>
      </w:r>
      <w:r>
        <w:rPr>
          <w:sz w:val="22"/>
          <w:szCs w:val="22"/>
        </w:rPr>
        <w:t xml:space="preserve"> be it </w:t>
      </w:r>
    </w:p>
    <w:p w14:paraId="04E43110" w14:textId="77777777" w:rsidR="0087142B" w:rsidRDefault="00241C54" w:rsidP="0087142B">
      <w:pPr>
        <w:spacing w:after="240"/>
        <w:rPr>
          <w:sz w:val="18"/>
          <w:szCs w:val="18"/>
        </w:rPr>
      </w:pPr>
      <w:r w:rsidRPr="000E374E">
        <w:rPr>
          <w:i/>
          <w:sz w:val="22"/>
          <w:szCs w:val="22"/>
        </w:rPr>
        <w:t>Resolved,</w:t>
      </w:r>
      <w:r w:rsidRPr="000E374E">
        <w:rPr>
          <w:sz w:val="22"/>
          <w:szCs w:val="22"/>
        </w:rPr>
        <w:t xml:space="preserve"> That the Women's State Legislative Council of Utah urges the Utah State Legislature to reject </w:t>
      </w:r>
      <w:r>
        <w:rPr>
          <w:sz w:val="22"/>
          <w:szCs w:val="22"/>
        </w:rPr>
        <w:t>the wholesale exemption of SITLA and its lessees from local land use regulations, and deny H.B. 408 in its current form</w:t>
      </w:r>
      <w:r w:rsidRPr="000E374E">
        <w:rPr>
          <w:sz w:val="22"/>
          <w:szCs w:val="22"/>
        </w:rPr>
        <w:t>. </w:t>
      </w:r>
    </w:p>
    <w:p w14:paraId="44259E67" w14:textId="47B2B318" w:rsidR="00241C54" w:rsidRPr="000E374E" w:rsidRDefault="00241C54" w:rsidP="0087142B">
      <w:pPr>
        <w:spacing w:after="240"/>
        <w:rPr>
          <w:sz w:val="22"/>
          <w:szCs w:val="22"/>
        </w:rPr>
      </w:pPr>
      <w:r w:rsidRPr="000E374E">
        <w:rPr>
          <w:sz w:val="22"/>
          <w:szCs w:val="22"/>
        </w:rPr>
        <w:t xml:space="preserve">Dated this </w:t>
      </w:r>
      <w:r>
        <w:rPr>
          <w:sz w:val="22"/>
          <w:szCs w:val="22"/>
        </w:rPr>
        <w:t>8</w:t>
      </w:r>
      <w:r w:rsidRPr="000E374E">
        <w:rPr>
          <w:sz w:val="22"/>
          <w:szCs w:val="22"/>
        </w:rPr>
        <w:t xml:space="preserve">th day of </w:t>
      </w:r>
      <w:r w:rsidR="0087142B">
        <w:rPr>
          <w:sz w:val="22"/>
          <w:szCs w:val="22"/>
        </w:rPr>
        <w:t>March 2017</w:t>
      </w:r>
    </w:p>
    <w:p w14:paraId="5245020B" w14:textId="77777777" w:rsidR="0087142B" w:rsidRDefault="0087142B" w:rsidP="00241C54"/>
    <w:p w14:paraId="4E1AC2E7" w14:textId="5D3B451C" w:rsidR="00241C54" w:rsidRPr="000E374E" w:rsidRDefault="00241C54" w:rsidP="00241C54">
      <w:pPr>
        <w:rPr>
          <w:sz w:val="22"/>
          <w:szCs w:val="22"/>
        </w:rPr>
      </w:pPr>
      <w:r w:rsidRPr="000E374E">
        <w:rPr>
          <w:sz w:val="22"/>
          <w:szCs w:val="22"/>
        </w:rPr>
        <w:t>_______________________________</w:t>
      </w:r>
      <w:r w:rsidR="0087142B">
        <w:rPr>
          <w:sz w:val="22"/>
          <w:szCs w:val="22"/>
        </w:rPr>
        <w:tab/>
        <w:t xml:space="preserve">           ___________________________     ________________________</w:t>
      </w:r>
      <w:r w:rsidRPr="000E374E">
        <w:rPr>
          <w:sz w:val="22"/>
          <w:szCs w:val="22"/>
        </w:rPr>
        <w:tab/>
      </w:r>
    </w:p>
    <w:p w14:paraId="73B3E9F6" w14:textId="165BDA93" w:rsidR="00241C54" w:rsidRPr="000E374E" w:rsidRDefault="00241C54" w:rsidP="00241C54">
      <w:pPr>
        <w:rPr>
          <w:sz w:val="22"/>
          <w:szCs w:val="22"/>
        </w:rPr>
      </w:pPr>
      <w:r w:rsidRPr="000E374E">
        <w:rPr>
          <w:sz w:val="22"/>
          <w:szCs w:val="22"/>
        </w:rPr>
        <w:t>Shauna Scott-</w:t>
      </w:r>
      <w:proofErr w:type="spellStart"/>
      <w:r w:rsidRPr="000E374E">
        <w:rPr>
          <w:sz w:val="22"/>
          <w:szCs w:val="22"/>
        </w:rPr>
        <w:t>Bellaccomo</w:t>
      </w:r>
      <w:proofErr w:type="spellEnd"/>
      <w:r w:rsidRPr="000E374E">
        <w:rPr>
          <w:sz w:val="22"/>
          <w:szCs w:val="22"/>
        </w:rPr>
        <w:t>, Preside</w:t>
      </w:r>
      <w:r w:rsidR="0087142B">
        <w:rPr>
          <w:sz w:val="22"/>
          <w:szCs w:val="22"/>
        </w:rPr>
        <w:t>nt</w:t>
      </w:r>
      <w:r w:rsidR="0087142B">
        <w:rPr>
          <w:sz w:val="22"/>
          <w:szCs w:val="22"/>
        </w:rPr>
        <w:tab/>
      </w:r>
      <w:r w:rsidR="0087142B">
        <w:rPr>
          <w:sz w:val="22"/>
          <w:szCs w:val="22"/>
        </w:rPr>
        <w:tab/>
      </w:r>
      <w:proofErr w:type="spellStart"/>
      <w:r w:rsidR="0087142B">
        <w:rPr>
          <w:sz w:val="22"/>
          <w:szCs w:val="22"/>
        </w:rPr>
        <w:t>Kimber</w:t>
      </w:r>
      <w:proofErr w:type="spellEnd"/>
      <w:r w:rsidR="0087142B">
        <w:rPr>
          <w:sz w:val="22"/>
          <w:szCs w:val="22"/>
        </w:rPr>
        <w:t xml:space="preserve"> </w:t>
      </w:r>
      <w:proofErr w:type="spellStart"/>
      <w:r w:rsidR="0087142B">
        <w:rPr>
          <w:sz w:val="22"/>
          <w:szCs w:val="22"/>
        </w:rPr>
        <w:t>Gabryszak</w:t>
      </w:r>
      <w:proofErr w:type="spellEnd"/>
      <w:r w:rsidR="0087142B">
        <w:rPr>
          <w:sz w:val="22"/>
          <w:szCs w:val="22"/>
        </w:rPr>
        <w:t>, Director</w:t>
      </w:r>
      <w:r w:rsidR="0087142B">
        <w:rPr>
          <w:sz w:val="22"/>
          <w:szCs w:val="22"/>
        </w:rPr>
        <w:tab/>
        <w:t xml:space="preserve">      </w:t>
      </w:r>
      <w:r w:rsidRPr="000E374E">
        <w:rPr>
          <w:sz w:val="22"/>
          <w:szCs w:val="22"/>
        </w:rPr>
        <w:t>Kendra Seeley, Co-Chair</w:t>
      </w:r>
    </w:p>
    <w:p w14:paraId="58237E99" w14:textId="690AC78D" w:rsidR="00241C54" w:rsidRPr="000E374E" w:rsidRDefault="00241C54" w:rsidP="00241C54">
      <w:pPr>
        <w:rPr>
          <w:sz w:val="22"/>
          <w:szCs w:val="22"/>
        </w:rPr>
      </w:pPr>
      <w:r w:rsidRPr="000E374E">
        <w:rPr>
          <w:sz w:val="22"/>
          <w:szCs w:val="22"/>
        </w:rPr>
        <w:t>Women’s State Legislative Council of Uta</w:t>
      </w:r>
      <w:r w:rsidR="0087142B">
        <w:rPr>
          <w:sz w:val="22"/>
          <w:szCs w:val="22"/>
        </w:rPr>
        <w:t>h</w:t>
      </w:r>
      <w:r w:rsidR="0087142B">
        <w:rPr>
          <w:sz w:val="22"/>
          <w:szCs w:val="22"/>
        </w:rPr>
        <w:tab/>
        <w:t>Energy and Natural Resources</w:t>
      </w:r>
      <w:r w:rsidR="0087142B">
        <w:rPr>
          <w:sz w:val="22"/>
          <w:szCs w:val="22"/>
        </w:rPr>
        <w:tab/>
        <w:t xml:space="preserve">      </w:t>
      </w:r>
      <w:r w:rsidRPr="000E374E">
        <w:rPr>
          <w:sz w:val="22"/>
          <w:szCs w:val="22"/>
        </w:rPr>
        <w:t>Energy and Natural Resources</w:t>
      </w:r>
    </w:p>
    <w:p w14:paraId="64BC9390" w14:textId="59A794DC" w:rsidR="00241C54" w:rsidRPr="000E374E" w:rsidRDefault="00241C54" w:rsidP="00241C54">
      <w:pPr>
        <w:rPr>
          <w:sz w:val="22"/>
          <w:szCs w:val="22"/>
        </w:rPr>
      </w:pPr>
      <w:r w:rsidRPr="000E374E">
        <w:rPr>
          <w:sz w:val="22"/>
          <w:szCs w:val="22"/>
        </w:rPr>
        <w:tab/>
      </w:r>
      <w:r w:rsidRPr="000E374E">
        <w:rPr>
          <w:sz w:val="22"/>
          <w:szCs w:val="22"/>
        </w:rPr>
        <w:tab/>
      </w:r>
      <w:r w:rsidRPr="000E374E">
        <w:rPr>
          <w:sz w:val="22"/>
          <w:szCs w:val="22"/>
        </w:rPr>
        <w:tab/>
      </w:r>
      <w:r w:rsidR="0087142B">
        <w:rPr>
          <w:sz w:val="22"/>
          <w:szCs w:val="22"/>
        </w:rPr>
        <w:tab/>
      </w:r>
      <w:r w:rsidR="0087142B">
        <w:rPr>
          <w:sz w:val="22"/>
          <w:szCs w:val="22"/>
        </w:rPr>
        <w:tab/>
      </w:r>
      <w:r w:rsidR="0087142B">
        <w:rPr>
          <w:sz w:val="22"/>
          <w:szCs w:val="22"/>
        </w:rPr>
        <w:tab/>
        <w:t>Legislative Study Committee</w:t>
      </w:r>
      <w:r w:rsidR="0087142B">
        <w:rPr>
          <w:sz w:val="22"/>
          <w:szCs w:val="22"/>
        </w:rPr>
        <w:tab/>
        <w:t xml:space="preserve">      </w:t>
      </w:r>
      <w:r w:rsidRPr="000E374E">
        <w:rPr>
          <w:sz w:val="22"/>
          <w:szCs w:val="22"/>
        </w:rPr>
        <w:t>Legislative Study Committee</w:t>
      </w:r>
    </w:p>
    <w:p w14:paraId="146A3DB5" w14:textId="77777777" w:rsidR="00241C54" w:rsidRPr="0087142B" w:rsidRDefault="00241C54" w:rsidP="00241C54">
      <w:pPr>
        <w:rPr>
          <w:sz w:val="18"/>
          <w:szCs w:val="18"/>
        </w:rPr>
      </w:pPr>
      <w:r w:rsidRPr="0087142B">
        <w:rPr>
          <w:sz w:val="18"/>
          <w:szCs w:val="18"/>
        </w:rPr>
        <w:t>References:</w:t>
      </w:r>
    </w:p>
    <w:p w14:paraId="4ACE0F56" w14:textId="77777777" w:rsidR="00241C54" w:rsidRPr="0087142B" w:rsidRDefault="00241C54" w:rsidP="00241C54">
      <w:pPr>
        <w:rPr>
          <w:sz w:val="18"/>
          <w:szCs w:val="18"/>
        </w:rPr>
      </w:pPr>
      <w:r w:rsidRPr="0087142B">
        <w:rPr>
          <w:sz w:val="18"/>
          <w:szCs w:val="18"/>
        </w:rPr>
        <w:t xml:space="preserve">1 – SITLA FAQs </w:t>
      </w:r>
      <w:hyperlink r:id="rId6" w:history="1">
        <w:r w:rsidRPr="0087142B">
          <w:rPr>
            <w:rStyle w:val="Hyperlink"/>
            <w:sz w:val="18"/>
            <w:szCs w:val="18"/>
          </w:rPr>
          <w:t>https://trustlands.utah.gov/our-agency/faqs/</w:t>
        </w:r>
      </w:hyperlink>
      <w:r w:rsidRPr="0087142B">
        <w:rPr>
          <w:sz w:val="18"/>
          <w:szCs w:val="18"/>
        </w:rPr>
        <w:t xml:space="preserve"> </w:t>
      </w:r>
    </w:p>
    <w:p w14:paraId="5E2F3420" w14:textId="77777777" w:rsidR="00241C54" w:rsidRPr="0087142B" w:rsidRDefault="00241C54" w:rsidP="00241C54">
      <w:pPr>
        <w:rPr>
          <w:sz w:val="18"/>
          <w:szCs w:val="18"/>
        </w:rPr>
      </w:pPr>
      <w:r w:rsidRPr="0087142B">
        <w:rPr>
          <w:sz w:val="18"/>
          <w:szCs w:val="18"/>
        </w:rPr>
        <w:t xml:space="preserve">2 – Utah State Code Section 10-9a-101 </w:t>
      </w:r>
      <w:hyperlink r:id="rId7" w:history="1">
        <w:r w:rsidRPr="0087142B">
          <w:rPr>
            <w:rStyle w:val="Hyperlink"/>
            <w:sz w:val="18"/>
            <w:szCs w:val="18"/>
          </w:rPr>
          <w:t>http://le.utah.gov/xcode/Title10/Chapter9A/10-9a-S102.html?v=C10-9a-S102_1800010118000101</w:t>
        </w:r>
      </w:hyperlink>
      <w:r w:rsidRPr="0087142B">
        <w:rPr>
          <w:sz w:val="18"/>
          <w:szCs w:val="18"/>
        </w:rPr>
        <w:t xml:space="preserve"> </w:t>
      </w:r>
    </w:p>
    <w:p w14:paraId="53EFA051" w14:textId="77777777" w:rsidR="00241C54" w:rsidRPr="0087142B" w:rsidRDefault="00241C54" w:rsidP="00241C54">
      <w:pPr>
        <w:rPr>
          <w:sz w:val="18"/>
          <w:szCs w:val="18"/>
        </w:rPr>
      </w:pPr>
      <w:r w:rsidRPr="0087142B">
        <w:rPr>
          <w:sz w:val="18"/>
          <w:szCs w:val="18"/>
        </w:rPr>
        <w:t xml:space="preserve">3 – SITLA Land Maps </w:t>
      </w:r>
      <w:hyperlink r:id="rId8" w:history="1">
        <w:r w:rsidRPr="0087142B">
          <w:rPr>
            <w:rStyle w:val="Hyperlink"/>
            <w:sz w:val="18"/>
            <w:szCs w:val="18"/>
          </w:rPr>
          <w:t>http://trustlands.utah.gov/resources/maps/mining-gis-data-and-maps/</w:t>
        </w:r>
      </w:hyperlink>
      <w:r w:rsidRPr="0087142B">
        <w:rPr>
          <w:sz w:val="18"/>
          <w:szCs w:val="18"/>
        </w:rPr>
        <w:t xml:space="preserve"> </w:t>
      </w:r>
    </w:p>
    <w:p w14:paraId="5D01D282" w14:textId="77777777" w:rsidR="0087142B" w:rsidRDefault="00241C54" w:rsidP="00241C54">
      <w:pPr>
        <w:rPr>
          <w:sz w:val="18"/>
          <w:szCs w:val="18"/>
        </w:rPr>
      </w:pPr>
      <w:r w:rsidRPr="0087142B">
        <w:rPr>
          <w:sz w:val="18"/>
          <w:szCs w:val="18"/>
        </w:rPr>
        <w:t xml:space="preserve">4 – Utah State Code Section 53c-1-102 </w:t>
      </w:r>
      <w:hyperlink r:id="rId9" w:history="1">
        <w:r w:rsidRPr="0087142B">
          <w:rPr>
            <w:rStyle w:val="Hyperlink"/>
            <w:sz w:val="18"/>
            <w:szCs w:val="18"/>
          </w:rPr>
          <w:t>http://le.utah.gov/xcode/Title53C/Chapter1/53C-1-S102.html</w:t>
        </w:r>
      </w:hyperlink>
      <w:r w:rsidRPr="0087142B">
        <w:rPr>
          <w:sz w:val="18"/>
          <w:szCs w:val="18"/>
        </w:rPr>
        <w:t xml:space="preserve"> </w:t>
      </w:r>
    </w:p>
    <w:p w14:paraId="66B5A934" w14:textId="3C6C2F45" w:rsidR="00AC2151" w:rsidRPr="0087142B" w:rsidRDefault="00241C54">
      <w:pPr>
        <w:rPr>
          <w:sz w:val="18"/>
          <w:szCs w:val="18"/>
        </w:rPr>
      </w:pPr>
      <w:r w:rsidRPr="0087142B">
        <w:rPr>
          <w:sz w:val="18"/>
          <w:szCs w:val="18"/>
        </w:rPr>
        <w:t xml:space="preserve">5 – H.B. 408 Language </w:t>
      </w:r>
      <w:hyperlink r:id="rId10" w:history="1">
        <w:r w:rsidRPr="0087142B">
          <w:rPr>
            <w:rStyle w:val="Hyperlink"/>
            <w:sz w:val="18"/>
            <w:szCs w:val="18"/>
          </w:rPr>
          <w:t>http://le.utah.gov/~2017/bills/static/HB0408.html</w:t>
        </w:r>
      </w:hyperlink>
      <w:r w:rsidRPr="0087142B">
        <w:rPr>
          <w:sz w:val="18"/>
          <w:szCs w:val="18"/>
        </w:rPr>
        <w:t xml:space="preserve"> </w:t>
      </w:r>
      <w:bookmarkStart w:id="0" w:name="_GoBack"/>
      <w:bookmarkEnd w:id="0"/>
    </w:p>
    <w:sectPr w:rsidR="00AC2151" w:rsidRPr="0087142B" w:rsidSect="0087142B">
      <w:pgSz w:w="12240" w:h="15840"/>
      <w:pgMar w:top="360" w:right="1008" w:bottom="115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F11"/>
    <w:rsid w:val="00057F11"/>
    <w:rsid w:val="00061650"/>
    <w:rsid w:val="0009488B"/>
    <w:rsid w:val="0010160F"/>
    <w:rsid w:val="00197361"/>
    <w:rsid w:val="001A70C0"/>
    <w:rsid w:val="001B2F22"/>
    <w:rsid w:val="00241C54"/>
    <w:rsid w:val="002B3F52"/>
    <w:rsid w:val="00310644"/>
    <w:rsid w:val="00353519"/>
    <w:rsid w:val="003D68EF"/>
    <w:rsid w:val="004039F3"/>
    <w:rsid w:val="004F2110"/>
    <w:rsid w:val="00513359"/>
    <w:rsid w:val="005358B0"/>
    <w:rsid w:val="00543C44"/>
    <w:rsid w:val="00564D93"/>
    <w:rsid w:val="005E0FA3"/>
    <w:rsid w:val="0062348A"/>
    <w:rsid w:val="00627A49"/>
    <w:rsid w:val="0074467C"/>
    <w:rsid w:val="007449D6"/>
    <w:rsid w:val="007B171E"/>
    <w:rsid w:val="0087142B"/>
    <w:rsid w:val="00891042"/>
    <w:rsid w:val="00947A13"/>
    <w:rsid w:val="00A23EBA"/>
    <w:rsid w:val="00A71E0F"/>
    <w:rsid w:val="00AC2151"/>
    <w:rsid w:val="00AE72D0"/>
    <w:rsid w:val="00AF18A4"/>
    <w:rsid w:val="00AF3FB3"/>
    <w:rsid w:val="00B34CCF"/>
    <w:rsid w:val="00BD3B6E"/>
    <w:rsid w:val="00BD7138"/>
    <w:rsid w:val="00C052BE"/>
    <w:rsid w:val="00C15A6E"/>
    <w:rsid w:val="00C210A4"/>
    <w:rsid w:val="00D1350C"/>
    <w:rsid w:val="00E15124"/>
    <w:rsid w:val="00F039D4"/>
    <w:rsid w:val="00F623EF"/>
    <w:rsid w:val="00FD5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99FE7E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F11"/>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7F1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7F11"/>
    <w:rPr>
      <w:rFonts w:ascii="Lucida Grande" w:eastAsia="Times New Roman" w:hAnsi="Lucida Grande" w:cs="Lucida Grande"/>
      <w:sz w:val="18"/>
      <w:szCs w:val="18"/>
      <w:lang w:eastAsia="en-US"/>
    </w:rPr>
  </w:style>
  <w:style w:type="character" w:styleId="Hyperlink">
    <w:name w:val="Hyperlink"/>
    <w:basedOn w:val="DefaultParagraphFont"/>
    <w:uiPriority w:val="99"/>
    <w:unhideWhenUsed/>
    <w:rsid w:val="00241C5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F11"/>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7F1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7F11"/>
    <w:rPr>
      <w:rFonts w:ascii="Lucida Grande" w:eastAsia="Times New Roman" w:hAnsi="Lucida Grande" w:cs="Lucida Grande"/>
      <w:sz w:val="18"/>
      <w:szCs w:val="18"/>
      <w:lang w:eastAsia="en-US"/>
    </w:rPr>
  </w:style>
  <w:style w:type="character" w:styleId="Hyperlink">
    <w:name w:val="Hyperlink"/>
    <w:basedOn w:val="DefaultParagraphFont"/>
    <w:uiPriority w:val="99"/>
    <w:unhideWhenUsed/>
    <w:rsid w:val="00241C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trustlands.utah.gov/resources/maps/mining-gis-data-and-maps/" TargetMode="External"/><Relationship Id="rId3" Type="http://schemas.openxmlformats.org/officeDocument/2006/relationships/settings" Target="settings.xml"/><Relationship Id="rId7" Type="http://schemas.openxmlformats.org/officeDocument/2006/relationships/hyperlink" Target="http://le.utah.gov/xcode/Title10/Chapter9A/10-9a-S102.html?v=C10-9a-S102_1800010118000101"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rustlands.utah.gov/our-agency/faqs/"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le.utah.gov/~2017/bills/static/HB0408.html" TargetMode="External"/><Relationship Id="rId4" Type="http://schemas.openxmlformats.org/officeDocument/2006/relationships/webSettings" Target="webSettings.xml"/><Relationship Id="rId9" Type="http://schemas.openxmlformats.org/officeDocument/2006/relationships/hyperlink" Target="http://le.utah.gov/xcode/Title53C/Chapter1/53C-1-S10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Witt</dc:creator>
  <cp:lastModifiedBy>Jim</cp:lastModifiedBy>
  <cp:revision>2</cp:revision>
  <dcterms:created xsi:type="dcterms:W3CDTF">2017-03-07T20:17:00Z</dcterms:created>
  <dcterms:modified xsi:type="dcterms:W3CDTF">2017-03-07T20:17:00Z</dcterms:modified>
</cp:coreProperties>
</file>