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34332" w14:textId="77777777" w:rsidR="005A5FD8" w:rsidRPr="00CF5EF8" w:rsidRDefault="005A5FD8" w:rsidP="005A5FD8">
      <w:pPr>
        <w:jc w:val="center"/>
        <w:rPr>
          <w:b/>
          <w:sz w:val="28"/>
          <w:szCs w:val="28"/>
        </w:rPr>
      </w:pPr>
      <w:r w:rsidRPr="00CF5EF8">
        <w:rPr>
          <w:b/>
          <w:sz w:val="28"/>
          <w:szCs w:val="28"/>
        </w:rPr>
        <w:t>RESOLUTIO</w:t>
      </w:r>
      <w:r w:rsidR="00B23D96">
        <w:rPr>
          <w:b/>
          <w:sz w:val="28"/>
          <w:szCs w:val="28"/>
        </w:rPr>
        <w:t xml:space="preserve">N IN OPPOSITION TO 2012 HB 148 </w:t>
      </w:r>
      <w:r w:rsidRPr="00CF5EF8">
        <w:rPr>
          <w:b/>
          <w:sz w:val="28"/>
          <w:szCs w:val="28"/>
        </w:rPr>
        <w:t>TRANSFER OF PUBLIC LANDS ACT</w:t>
      </w:r>
    </w:p>
    <w:p w14:paraId="7C459CA4" w14:textId="2B44F950" w:rsidR="00B32756" w:rsidRPr="00B538B9" w:rsidRDefault="005A5FD8" w:rsidP="00B32756">
      <w:pPr>
        <w:rPr>
          <w:rFonts w:asciiTheme="majorHAnsi" w:hAnsiTheme="majorHAnsi" w:cs="Times New Roman"/>
          <w:sz w:val="24"/>
          <w:szCs w:val="24"/>
        </w:rPr>
      </w:pPr>
      <w:r w:rsidRPr="00B538B9">
        <w:rPr>
          <w:rFonts w:asciiTheme="majorHAnsi" w:hAnsiTheme="majorHAnsi" w:cs="Times New Roman"/>
          <w:sz w:val="24"/>
          <w:szCs w:val="24"/>
        </w:rPr>
        <w:t xml:space="preserve">Whereas, </w:t>
      </w:r>
      <w:r w:rsidR="00605547">
        <w:rPr>
          <w:rFonts w:asciiTheme="majorHAnsi" w:hAnsiTheme="majorHAnsi" w:cs="Times New Roman"/>
          <w:sz w:val="24"/>
          <w:szCs w:val="24"/>
        </w:rPr>
        <w:t>The Act is expected to be found unconstitutional, making ongoing efforts a poor return on investment for Utah and taking time away from legislation on other important issues;</w:t>
      </w:r>
    </w:p>
    <w:p w14:paraId="20EBA863" w14:textId="39F380EC" w:rsidR="006D4A24" w:rsidRDefault="005A5FD8" w:rsidP="00B32756">
      <w:pPr>
        <w:rPr>
          <w:rFonts w:asciiTheme="majorHAnsi" w:hAnsiTheme="majorHAnsi" w:cs="Times New Roman"/>
          <w:sz w:val="24"/>
          <w:szCs w:val="24"/>
        </w:rPr>
      </w:pPr>
      <w:r w:rsidRPr="00B538B9">
        <w:rPr>
          <w:rFonts w:asciiTheme="majorHAnsi" w:hAnsiTheme="majorHAnsi" w:cs="Times New Roman"/>
          <w:sz w:val="24"/>
          <w:szCs w:val="24"/>
        </w:rPr>
        <w:t xml:space="preserve">Whereas, </w:t>
      </w:r>
      <w:r w:rsidR="00605547">
        <w:rPr>
          <w:rFonts w:asciiTheme="majorHAnsi" w:hAnsiTheme="majorHAnsi" w:cs="Times New Roman"/>
          <w:sz w:val="24"/>
          <w:szCs w:val="24"/>
        </w:rPr>
        <w:t xml:space="preserve">If successful, </w:t>
      </w:r>
      <w:r w:rsidR="00B32756" w:rsidRPr="00B538B9">
        <w:rPr>
          <w:rFonts w:asciiTheme="majorHAnsi" w:hAnsiTheme="majorHAnsi" w:cs="Times New Roman"/>
          <w:sz w:val="24"/>
          <w:szCs w:val="24"/>
        </w:rPr>
        <w:t xml:space="preserve">an estimated $432M </w:t>
      </w:r>
      <w:r w:rsidR="00605547">
        <w:rPr>
          <w:rFonts w:asciiTheme="majorHAnsi" w:hAnsiTheme="majorHAnsi" w:cs="Times New Roman"/>
          <w:sz w:val="24"/>
          <w:szCs w:val="24"/>
        </w:rPr>
        <w:t xml:space="preserve">in </w:t>
      </w:r>
      <w:r w:rsidR="00B32756" w:rsidRPr="00B538B9">
        <w:rPr>
          <w:rFonts w:asciiTheme="majorHAnsi" w:hAnsiTheme="majorHAnsi" w:cs="Times New Roman"/>
          <w:sz w:val="24"/>
          <w:szCs w:val="24"/>
        </w:rPr>
        <w:t xml:space="preserve">annual income from the acquired lands would be </w:t>
      </w:r>
      <w:r w:rsidR="00605547">
        <w:rPr>
          <w:rFonts w:asciiTheme="majorHAnsi" w:hAnsiTheme="majorHAnsi" w:cs="Times New Roman"/>
          <w:sz w:val="24"/>
          <w:szCs w:val="24"/>
        </w:rPr>
        <w:t>necessary</w:t>
      </w:r>
      <w:r w:rsidR="00B32756" w:rsidRPr="00B538B9">
        <w:rPr>
          <w:rFonts w:asciiTheme="majorHAnsi" w:hAnsiTheme="majorHAnsi" w:cs="Times New Roman"/>
          <w:sz w:val="24"/>
          <w:szCs w:val="24"/>
        </w:rPr>
        <w:t xml:space="preserve"> to manage these </w:t>
      </w:r>
      <w:r w:rsidR="00605547">
        <w:rPr>
          <w:rFonts w:asciiTheme="majorHAnsi" w:hAnsiTheme="majorHAnsi" w:cs="Times New Roman"/>
          <w:sz w:val="24"/>
          <w:szCs w:val="24"/>
        </w:rPr>
        <w:t xml:space="preserve">lands </w:t>
      </w:r>
      <w:r w:rsidR="00B32756" w:rsidRPr="00B538B9">
        <w:rPr>
          <w:rFonts w:asciiTheme="majorHAnsi" w:hAnsiTheme="majorHAnsi" w:cs="Times New Roman"/>
          <w:sz w:val="24"/>
          <w:szCs w:val="24"/>
        </w:rPr>
        <w:t>and meet existing commitm</w:t>
      </w:r>
      <w:r w:rsidR="002C1CD6">
        <w:rPr>
          <w:rFonts w:asciiTheme="majorHAnsi" w:hAnsiTheme="majorHAnsi" w:cs="Times New Roman"/>
          <w:sz w:val="24"/>
          <w:szCs w:val="24"/>
        </w:rPr>
        <w:t>ents</w:t>
      </w:r>
      <w:r w:rsidR="00605547">
        <w:rPr>
          <w:rFonts w:asciiTheme="majorHAnsi" w:hAnsiTheme="majorHAnsi" w:cs="Times New Roman"/>
          <w:sz w:val="24"/>
          <w:szCs w:val="24"/>
        </w:rPr>
        <w:t>.  T</w:t>
      </w:r>
      <w:r w:rsidR="00B32756" w:rsidRPr="00B538B9">
        <w:rPr>
          <w:rFonts w:asciiTheme="majorHAnsi" w:hAnsiTheme="majorHAnsi" w:cs="Times New Roman"/>
          <w:sz w:val="24"/>
          <w:szCs w:val="24"/>
        </w:rPr>
        <w:t>his would require transfer of mineral rights, substantial development</w:t>
      </w:r>
      <w:r w:rsidR="00605547">
        <w:rPr>
          <w:rFonts w:asciiTheme="majorHAnsi" w:hAnsiTheme="majorHAnsi" w:cs="Times New Roman"/>
          <w:sz w:val="24"/>
          <w:szCs w:val="24"/>
        </w:rPr>
        <w:t xml:space="preserve"> and favorable market prices. Revenue from both natural gas and oil would continue to fluctuate, creating si</w:t>
      </w:r>
      <w:r w:rsidR="008F7FCC">
        <w:rPr>
          <w:rFonts w:asciiTheme="majorHAnsi" w:hAnsiTheme="majorHAnsi" w:cs="Times New Roman"/>
          <w:sz w:val="24"/>
          <w:szCs w:val="24"/>
        </w:rPr>
        <w:t>gnificant budgetary uncertainty;</w:t>
      </w:r>
    </w:p>
    <w:p w14:paraId="449ED973" w14:textId="78EFAEA5" w:rsidR="00605547" w:rsidRDefault="00605547" w:rsidP="00B32756">
      <w:pPr>
        <w:rPr>
          <w:rFonts w:asciiTheme="majorHAnsi" w:hAnsiTheme="majorHAnsi" w:cs="Times New Roman"/>
          <w:sz w:val="24"/>
          <w:szCs w:val="24"/>
        </w:rPr>
      </w:pPr>
      <w:r>
        <w:rPr>
          <w:rFonts w:asciiTheme="majorHAnsi" w:hAnsiTheme="majorHAnsi" w:cs="Times New Roman"/>
          <w:sz w:val="24"/>
          <w:szCs w:val="24"/>
        </w:rPr>
        <w:t>Whereas, Utah would continue to incur potentially significant federal regulatory agency compliance costs for these lands (e.g., Endangered Species Act) in perpetuity;</w:t>
      </w:r>
    </w:p>
    <w:p w14:paraId="560F8CD0" w14:textId="7B434A25" w:rsidR="00B32756" w:rsidRPr="00B538B9" w:rsidRDefault="005A5FD8" w:rsidP="00B32756">
      <w:pPr>
        <w:rPr>
          <w:rFonts w:asciiTheme="majorHAnsi" w:hAnsiTheme="majorHAnsi" w:cs="Times New Roman"/>
          <w:sz w:val="24"/>
          <w:szCs w:val="24"/>
        </w:rPr>
      </w:pPr>
      <w:r w:rsidRPr="00B538B9">
        <w:rPr>
          <w:rFonts w:asciiTheme="majorHAnsi" w:hAnsiTheme="majorHAnsi" w:cs="Times New Roman"/>
          <w:sz w:val="24"/>
          <w:szCs w:val="24"/>
        </w:rPr>
        <w:t xml:space="preserve">Whereas, </w:t>
      </w:r>
      <w:r w:rsidR="00605547">
        <w:rPr>
          <w:rFonts w:asciiTheme="majorHAnsi" w:hAnsiTheme="majorHAnsi" w:cs="Times New Roman"/>
          <w:sz w:val="24"/>
          <w:szCs w:val="24"/>
        </w:rPr>
        <w:t>The increase in development that would inevitably occur if federal public lands are transferred to the state will impede access to what were formerly federal public lands and increase the cost of access as has already occurred with Utah trust lands;</w:t>
      </w:r>
    </w:p>
    <w:p w14:paraId="2D99E201" w14:textId="6EA23931" w:rsidR="00B32756" w:rsidRPr="00B538B9" w:rsidRDefault="005A5FD8" w:rsidP="00B32756">
      <w:pPr>
        <w:rPr>
          <w:rFonts w:asciiTheme="majorHAnsi" w:hAnsiTheme="majorHAnsi" w:cs="Times New Roman"/>
          <w:sz w:val="24"/>
          <w:szCs w:val="24"/>
        </w:rPr>
      </w:pPr>
      <w:r w:rsidRPr="00B538B9">
        <w:rPr>
          <w:rFonts w:asciiTheme="majorHAnsi" w:hAnsiTheme="majorHAnsi" w:cs="Times New Roman"/>
          <w:sz w:val="24"/>
          <w:szCs w:val="24"/>
        </w:rPr>
        <w:t xml:space="preserve">Whereas, </w:t>
      </w:r>
      <w:r w:rsidR="008F7FCC" w:rsidRPr="008F7FCC">
        <w:rPr>
          <w:rFonts w:asciiTheme="majorHAnsi" w:eastAsia="Times New Roman" w:hAnsiTheme="majorHAnsi"/>
        </w:rPr>
        <w:t>Utah currently</w:t>
      </w:r>
      <w:r w:rsidR="008F7FCC" w:rsidRPr="008F7FCC">
        <w:rPr>
          <w:rFonts w:asciiTheme="majorHAnsi" w:eastAsia="Times New Roman" w:hAnsiTheme="majorHAnsi"/>
        </w:rPr>
        <w:t xml:space="preserve"> does not have a State Public Land Policy and Management Plan</w:t>
      </w:r>
      <w:r w:rsidR="008F7FCC">
        <w:rPr>
          <w:rFonts w:ascii="Calibri" w:eastAsia="Times New Roman" w:hAnsi="Calibri"/>
        </w:rPr>
        <w:t xml:space="preserve">, </w:t>
      </w:r>
      <w:r w:rsidR="008F7FCC">
        <w:rPr>
          <w:rFonts w:asciiTheme="majorHAnsi" w:eastAsia="Times New Roman" w:hAnsiTheme="majorHAnsi"/>
        </w:rPr>
        <w:t>t</w:t>
      </w:r>
      <w:bookmarkStart w:id="0" w:name="_GoBack"/>
      <w:bookmarkEnd w:id="0"/>
      <w:r w:rsidR="00605547">
        <w:rPr>
          <w:rFonts w:asciiTheme="majorHAnsi" w:hAnsiTheme="majorHAnsi" w:cs="Times New Roman"/>
          <w:sz w:val="24"/>
          <w:szCs w:val="24"/>
        </w:rPr>
        <w:t xml:space="preserve">he </w:t>
      </w:r>
      <w:r w:rsidR="00B32756" w:rsidRPr="00B538B9">
        <w:rPr>
          <w:rFonts w:asciiTheme="majorHAnsi" w:hAnsiTheme="majorHAnsi" w:cs="Times New Roman"/>
          <w:sz w:val="24"/>
          <w:szCs w:val="24"/>
        </w:rPr>
        <w:t>public would lose its right to provide inp</w:t>
      </w:r>
      <w:r w:rsidR="00B23D96">
        <w:rPr>
          <w:rFonts w:asciiTheme="majorHAnsi" w:hAnsiTheme="majorHAnsi" w:cs="Times New Roman"/>
          <w:sz w:val="24"/>
          <w:szCs w:val="24"/>
        </w:rPr>
        <w:t xml:space="preserve">ut </w:t>
      </w:r>
      <w:r w:rsidR="00E01AF7">
        <w:rPr>
          <w:rFonts w:asciiTheme="majorHAnsi" w:hAnsiTheme="majorHAnsi" w:cs="Times New Roman"/>
          <w:sz w:val="24"/>
          <w:szCs w:val="24"/>
        </w:rPr>
        <w:t>for</w:t>
      </w:r>
      <w:r w:rsidR="00E07072">
        <w:rPr>
          <w:rFonts w:asciiTheme="majorHAnsi" w:hAnsiTheme="majorHAnsi" w:cs="Times New Roman"/>
          <w:sz w:val="24"/>
          <w:szCs w:val="24"/>
        </w:rPr>
        <w:t xml:space="preserve"> land management decisions;</w:t>
      </w:r>
      <w:r w:rsidR="00B23D96">
        <w:rPr>
          <w:rFonts w:asciiTheme="majorHAnsi" w:hAnsiTheme="majorHAnsi" w:cs="Times New Roman"/>
          <w:sz w:val="24"/>
          <w:szCs w:val="24"/>
        </w:rPr>
        <w:t xml:space="preserve"> therefore, be it</w:t>
      </w:r>
    </w:p>
    <w:p w14:paraId="037FFD0F" w14:textId="77777777" w:rsidR="005A5FD8" w:rsidRDefault="005A5FD8" w:rsidP="00B32756">
      <w:pPr>
        <w:rPr>
          <w:rFonts w:asciiTheme="majorHAnsi" w:hAnsiTheme="majorHAnsi" w:cs="Times New Roman"/>
          <w:sz w:val="24"/>
          <w:szCs w:val="24"/>
        </w:rPr>
      </w:pPr>
      <w:r w:rsidRPr="00B538B9">
        <w:rPr>
          <w:rFonts w:asciiTheme="majorHAnsi" w:hAnsiTheme="majorHAnsi" w:cs="Times New Roman"/>
          <w:i/>
          <w:sz w:val="24"/>
          <w:szCs w:val="24"/>
        </w:rPr>
        <w:t>Resolved,</w:t>
      </w:r>
      <w:r w:rsidRPr="00B538B9">
        <w:rPr>
          <w:rFonts w:asciiTheme="majorHAnsi" w:hAnsiTheme="majorHAnsi" w:cs="Times New Roman"/>
          <w:sz w:val="24"/>
          <w:szCs w:val="24"/>
        </w:rPr>
        <w:t xml:space="preserve"> </w:t>
      </w:r>
      <w:proofErr w:type="gramStart"/>
      <w:r w:rsidRPr="00B538B9">
        <w:rPr>
          <w:rFonts w:asciiTheme="majorHAnsi" w:hAnsiTheme="majorHAnsi" w:cs="Times New Roman"/>
          <w:sz w:val="24"/>
          <w:szCs w:val="24"/>
        </w:rPr>
        <w:t>That</w:t>
      </w:r>
      <w:proofErr w:type="gramEnd"/>
      <w:r w:rsidRPr="00B538B9">
        <w:rPr>
          <w:rFonts w:asciiTheme="majorHAnsi" w:hAnsiTheme="majorHAnsi" w:cs="Times New Roman"/>
          <w:sz w:val="24"/>
          <w:szCs w:val="24"/>
        </w:rPr>
        <w:t xml:space="preserve"> the Women’s State Legislative Council of Utah opposes 2012 HB 148 – Transfer of Public Lands Act</w:t>
      </w:r>
      <w:r w:rsidR="00B23D96">
        <w:rPr>
          <w:rFonts w:asciiTheme="majorHAnsi" w:hAnsiTheme="majorHAnsi" w:cs="Times New Roman"/>
          <w:sz w:val="24"/>
          <w:szCs w:val="24"/>
        </w:rPr>
        <w:t>.</w:t>
      </w:r>
    </w:p>
    <w:p w14:paraId="601BE0DE" w14:textId="77777777" w:rsidR="007306B1" w:rsidRDefault="00B23D96" w:rsidP="00B32756">
      <w:pPr>
        <w:rPr>
          <w:rFonts w:asciiTheme="majorHAnsi" w:hAnsiTheme="majorHAnsi" w:cs="Times New Roman"/>
          <w:sz w:val="24"/>
          <w:szCs w:val="24"/>
        </w:rPr>
      </w:pPr>
      <w:r>
        <w:rPr>
          <w:rFonts w:asciiTheme="majorHAnsi" w:hAnsiTheme="majorHAnsi" w:cs="Times New Roman"/>
          <w:sz w:val="24"/>
          <w:szCs w:val="24"/>
        </w:rPr>
        <w:t>Dated</w:t>
      </w:r>
      <w:r w:rsidR="007306B1">
        <w:rPr>
          <w:rFonts w:asciiTheme="majorHAnsi" w:hAnsiTheme="majorHAnsi" w:cs="Times New Roman"/>
          <w:sz w:val="24"/>
          <w:szCs w:val="24"/>
        </w:rPr>
        <w:t xml:space="preserve"> this 11</w:t>
      </w:r>
      <w:r w:rsidR="007306B1" w:rsidRPr="007306B1">
        <w:rPr>
          <w:rFonts w:asciiTheme="majorHAnsi" w:hAnsiTheme="majorHAnsi" w:cs="Times New Roman"/>
          <w:sz w:val="24"/>
          <w:szCs w:val="24"/>
          <w:vertAlign w:val="superscript"/>
        </w:rPr>
        <w:t>th</w:t>
      </w:r>
      <w:r w:rsidR="007306B1">
        <w:rPr>
          <w:rFonts w:asciiTheme="majorHAnsi" w:hAnsiTheme="majorHAnsi" w:cs="Times New Roman"/>
          <w:sz w:val="24"/>
          <w:szCs w:val="24"/>
        </w:rPr>
        <w:t xml:space="preserve"> day of February 2015</w:t>
      </w:r>
    </w:p>
    <w:p w14:paraId="288E9C3C" w14:textId="77777777" w:rsidR="007306B1" w:rsidRDefault="007306B1" w:rsidP="00B32756">
      <w:pPr>
        <w:rPr>
          <w:rFonts w:asciiTheme="majorHAnsi" w:hAnsiTheme="majorHAnsi" w:cs="Times New Roman"/>
          <w:sz w:val="24"/>
          <w:szCs w:val="24"/>
        </w:rPr>
      </w:pPr>
    </w:p>
    <w:p w14:paraId="020C7FBE" w14:textId="77777777" w:rsidR="007306B1" w:rsidRDefault="007306B1" w:rsidP="00B32756">
      <w:pPr>
        <w:rPr>
          <w:rFonts w:asciiTheme="majorHAnsi" w:hAnsiTheme="majorHAnsi" w:cs="Times New Roman"/>
          <w:sz w:val="24"/>
          <w:szCs w:val="24"/>
        </w:rPr>
      </w:pPr>
      <w:r>
        <w:rPr>
          <w:rFonts w:asciiTheme="majorHAnsi" w:hAnsiTheme="majorHAnsi" w:cs="Times New Roman"/>
          <w:sz w:val="24"/>
          <w:szCs w:val="24"/>
        </w:rPr>
        <w:t xml:space="preserve">___________________________________________                                                                                                  Kari </w:t>
      </w:r>
      <w:proofErr w:type="spellStart"/>
      <w:r>
        <w:rPr>
          <w:rFonts w:asciiTheme="majorHAnsi" w:hAnsiTheme="majorHAnsi" w:cs="Times New Roman"/>
          <w:sz w:val="24"/>
          <w:szCs w:val="24"/>
        </w:rPr>
        <w:t>Malkovich</w:t>
      </w:r>
      <w:proofErr w:type="spellEnd"/>
      <w:r>
        <w:rPr>
          <w:rFonts w:asciiTheme="majorHAnsi" w:hAnsiTheme="majorHAnsi" w:cs="Times New Roman"/>
          <w:sz w:val="24"/>
          <w:szCs w:val="24"/>
        </w:rPr>
        <w:t xml:space="preserve">, President       </w:t>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t xml:space="preserve">      Women’s State Legislative Council of Utah</w:t>
      </w:r>
    </w:p>
    <w:p w14:paraId="348D5C9D" w14:textId="77777777" w:rsidR="007306B1" w:rsidRDefault="007306B1" w:rsidP="00B32756">
      <w:pPr>
        <w:rPr>
          <w:rFonts w:asciiTheme="majorHAnsi" w:hAnsiTheme="majorHAnsi" w:cs="Times New Roman"/>
          <w:sz w:val="24"/>
          <w:szCs w:val="24"/>
        </w:rPr>
      </w:pPr>
    </w:p>
    <w:p w14:paraId="2E26BC8B" w14:textId="77777777" w:rsidR="007306B1" w:rsidRDefault="007306B1" w:rsidP="00B32756">
      <w:pPr>
        <w:rPr>
          <w:rFonts w:asciiTheme="majorHAnsi" w:hAnsiTheme="majorHAnsi" w:cs="Times New Roman"/>
          <w:sz w:val="24"/>
          <w:szCs w:val="24"/>
        </w:rPr>
      </w:pPr>
      <w:r>
        <w:rPr>
          <w:rFonts w:asciiTheme="majorHAnsi" w:hAnsiTheme="majorHAnsi" w:cs="Times New Roman"/>
          <w:sz w:val="24"/>
          <w:szCs w:val="24"/>
        </w:rPr>
        <w:t xml:space="preserve">___________________________________________                                                                                                    Gay Lynn Bennion, Director                                                     </w:t>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t xml:space="preserve">                                 Energy/Natural Resources/Agriculture &amp; Environment                                                                             Legislative Study Committee</w:t>
      </w:r>
    </w:p>
    <w:p w14:paraId="1F1BF23F" w14:textId="77777777" w:rsidR="007306B1" w:rsidRPr="007306B1" w:rsidRDefault="007306B1" w:rsidP="00B32756">
      <w:pPr>
        <w:rPr>
          <w:rFonts w:asciiTheme="majorHAnsi" w:hAnsiTheme="majorHAnsi" w:cs="Times New Roman"/>
          <w:sz w:val="24"/>
          <w:szCs w:val="24"/>
        </w:rPr>
      </w:pPr>
    </w:p>
    <w:p w14:paraId="0E2914E2" w14:textId="77777777" w:rsidR="005A5FD8" w:rsidRPr="00B538B9" w:rsidRDefault="005A5FD8" w:rsidP="00B32756">
      <w:pPr>
        <w:rPr>
          <w:rFonts w:asciiTheme="majorHAnsi" w:hAnsiTheme="majorHAnsi" w:cs="Times New Roman"/>
          <w:sz w:val="20"/>
          <w:szCs w:val="20"/>
        </w:rPr>
      </w:pPr>
      <w:r w:rsidRPr="00B538B9">
        <w:rPr>
          <w:rFonts w:asciiTheme="majorHAnsi" w:hAnsiTheme="majorHAnsi" w:cs="Times New Roman"/>
          <w:sz w:val="20"/>
          <w:szCs w:val="20"/>
        </w:rPr>
        <w:t>Resources:</w:t>
      </w:r>
    </w:p>
    <w:p w14:paraId="5912EC34" w14:textId="77777777" w:rsidR="005A5FD8" w:rsidRPr="00B538B9" w:rsidRDefault="005A5FD8" w:rsidP="005A5FD8">
      <w:pPr>
        <w:pStyle w:val="ListParagraph"/>
        <w:numPr>
          <w:ilvl w:val="0"/>
          <w:numId w:val="1"/>
        </w:numPr>
        <w:rPr>
          <w:rFonts w:asciiTheme="majorHAnsi" w:hAnsiTheme="majorHAnsi" w:cs="Times New Roman"/>
          <w:sz w:val="20"/>
          <w:szCs w:val="20"/>
        </w:rPr>
      </w:pPr>
      <w:r w:rsidRPr="00B538B9">
        <w:rPr>
          <w:rFonts w:asciiTheme="majorHAnsi" w:hAnsiTheme="majorHAnsi" w:cs="Times New Roman"/>
          <w:sz w:val="20"/>
          <w:szCs w:val="20"/>
        </w:rPr>
        <w:t>2012 HB 148 – Legislative Review</w:t>
      </w:r>
    </w:p>
    <w:p w14:paraId="45FC7962" w14:textId="77777777" w:rsidR="005A5FD8" w:rsidRPr="00B538B9" w:rsidRDefault="005A5FD8" w:rsidP="005A5FD8">
      <w:pPr>
        <w:pStyle w:val="ListParagraph"/>
        <w:numPr>
          <w:ilvl w:val="0"/>
          <w:numId w:val="1"/>
        </w:numPr>
        <w:rPr>
          <w:rFonts w:asciiTheme="majorHAnsi" w:hAnsiTheme="majorHAnsi" w:cs="Times New Roman"/>
          <w:sz w:val="20"/>
          <w:szCs w:val="20"/>
        </w:rPr>
      </w:pPr>
      <w:r w:rsidRPr="00B538B9">
        <w:rPr>
          <w:rFonts w:asciiTheme="majorHAnsi" w:hAnsiTheme="majorHAnsi" w:cs="Times New Roman"/>
          <w:sz w:val="20"/>
          <w:szCs w:val="20"/>
        </w:rPr>
        <w:lastRenderedPageBreak/>
        <w:t>University of Utah, Utah State University &amp; Weber State University, An Analysis of a Transfer of Federal Lands to the State of Utah xxvi (2014)</w:t>
      </w:r>
    </w:p>
    <w:p w14:paraId="01C96D10" w14:textId="77777777" w:rsidR="00B23D96" w:rsidRDefault="00CF5EF8" w:rsidP="00B23D96">
      <w:pPr>
        <w:pStyle w:val="ListParagraph"/>
        <w:numPr>
          <w:ilvl w:val="0"/>
          <w:numId w:val="1"/>
        </w:numPr>
        <w:rPr>
          <w:rFonts w:asciiTheme="majorHAnsi" w:hAnsiTheme="majorHAnsi" w:cs="Times New Roman"/>
          <w:sz w:val="20"/>
          <w:szCs w:val="20"/>
        </w:rPr>
      </w:pPr>
      <w:proofErr w:type="spellStart"/>
      <w:r w:rsidRPr="00B538B9">
        <w:rPr>
          <w:rFonts w:asciiTheme="majorHAnsi" w:hAnsiTheme="majorHAnsi" w:cs="Times New Roman"/>
          <w:sz w:val="20"/>
          <w:szCs w:val="20"/>
        </w:rPr>
        <w:t>Stegner</w:t>
      </w:r>
      <w:proofErr w:type="spellEnd"/>
      <w:r w:rsidRPr="00B538B9">
        <w:rPr>
          <w:rFonts w:asciiTheme="majorHAnsi" w:hAnsiTheme="majorHAnsi" w:cs="Times New Roman"/>
          <w:sz w:val="20"/>
          <w:szCs w:val="20"/>
        </w:rPr>
        <w:t xml:space="preserve"> Center White Paper No 2014-2 </w:t>
      </w:r>
    </w:p>
    <w:p w14:paraId="2769A4BA" w14:textId="77777777" w:rsidR="00CF5EF8" w:rsidRPr="00B23D96" w:rsidRDefault="00CF5EF8" w:rsidP="00B23D96">
      <w:pPr>
        <w:pStyle w:val="ListParagraph"/>
        <w:numPr>
          <w:ilvl w:val="0"/>
          <w:numId w:val="1"/>
        </w:numPr>
        <w:rPr>
          <w:rFonts w:asciiTheme="majorHAnsi" w:hAnsiTheme="majorHAnsi" w:cs="Times New Roman"/>
          <w:sz w:val="20"/>
          <w:szCs w:val="20"/>
        </w:rPr>
      </w:pPr>
      <w:proofErr w:type="spellStart"/>
      <w:r w:rsidRPr="00B23D96">
        <w:rPr>
          <w:rFonts w:asciiTheme="majorHAnsi" w:hAnsiTheme="majorHAnsi" w:cs="Times New Roman"/>
          <w:sz w:val="20"/>
          <w:szCs w:val="20"/>
        </w:rPr>
        <w:t>Stegner</w:t>
      </w:r>
      <w:proofErr w:type="spellEnd"/>
      <w:r w:rsidRPr="00B23D96">
        <w:rPr>
          <w:rFonts w:asciiTheme="majorHAnsi" w:hAnsiTheme="majorHAnsi" w:cs="Times New Roman"/>
          <w:sz w:val="20"/>
          <w:szCs w:val="20"/>
        </w:rPr>
        <w:t xml:space="preserve"> Center White Paper No. 2015-01</w:t>
      </w:r>
    </w:p>
    <w:sectPr w:rsidR="00CF5EF8" w:rsidRPr="00B23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F1BA9"/>
    <w:multiLevelType w:val="hybridMultilevel"/>
    <w:tmpl w:val="1D464EA2"/>
    <w:lvl w:ilvl="0" w:tplc="18166466">
      <w:start w:val="1"/>
      <w:numFmt w:val="decimal"/>
      <w:lvlText w:val="%1"/>
      <w:lvlJc w:val="left"/>
      <w:pPr>
        <w:ind w:left="108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756"/>
    <w:rsid w:val="000738B0"/>
    <w:rsid w:val="002C1CD6"/>
    <w:rsid w:val="0030619B"/>
    <w:rsid w:val="00496013"/>
    <w:rsid w:val="004D7598"/>
    <w:rsid w:val="005A5FD8"/>
    <w:rsid w:val="00605547"/>
    <w:rsid w:val="006D4A24"/>
    <w:rsid w:val="007306B1"/>
    <w:rsid w:val="007A1427"/>
    <w:rsid w:val="0082280F"/>
    <w:rsid w:val="008F7FCC"/>
    <w:rsid w:val="00B23D96"/>
    <w:rsid w:val="00B32756"/>
    <w:rsid w:val="00B538B9"/>
    <w:rsid w:val="00C8503A"/>
    <w:rsid w:val="00CF5EF8"/>
    <w:rsid w:val="00DB20E2"/>
    <w:rsid w:val="00E01AF7"/>
    <w:rsid w:val="00E07072"/>
    <w:rsid w:val="00E40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DF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F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3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Gaycita and Roalders</dc:creator>
  <cp:lastModifiedBy>Gaycita and Roalders</cp:lastModifiedBy>
  <cp:revision>4</cp:revision>
  <cp:lastPrinted>2015-02-06T20:12:00Z</cp:lastPrinted>
  <dcterms:created xsi:type="dcterms:W3CDTF">2015-02-08T23:16:00Z</dcterms:created>
  <dcterms:modified xsi:type="dcterms:W3CDTF">2015-02-09T19:24:00Z</dcterms:modified>
</cp:coreProperties>
</file>